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Default="00832CC9" w:rsidP="0006079E">
      <w:pPr>
        <w:jc w:val="center"/>
      </w:pPr>
    </w:p>
    <w:p w:rsidR="00230038" w:rsidRPr="00F72A1E" w:rsidRDefault="00230038" w:rsidP="0006079E">
      <w:pPr>
        <w:jc w:val="center"/>
      </w:pPr>
    </w:p>
    <w:p w:rsidR="00347D6C" w:rsidRPr="00DB1094" w:rsidRDefault="00347D6C" w:rsidP="00347D6C">
      <w:pPr>
        <w:tabs>
          <w:tab w:val="left" w:pos="14656"/>
        </w:tabs>
        <w:jc w:val="center"/>
        <w:rPr>
          <w:b/>
          <w:sz w:val="20"/>
          <w:lang w:eastAsia="lt-LT"/>
        </w:rPr>
      </w:pPr>
      <w:r w:rsidRPr="00DB1094">
        <w:rPr>
          <w:b/>
          <w:lang w:eastAsia="lt-LT"/>
        </w:rPr>
        <w:t>KLAIPĖDOS MOKSLEIVIŲ SAVIRAIŠKOS CENTRO</w:t>
      </w:r>
    </w:p>
    <w:p w:rsidR="00347D6C" w:rsidRPr="00DB1094" w:rsidRDefault="00347D6C" w:rsidP="00347D6C">
      <w:pPr>
        <w:jc w:val="center"/>
        <w:rPr>
          <w:b/>
          <w:lang w:eastAsia="lt-LT"/>
        </w:rPr>
      </w:pPr>
      <w:r w:rsidRPr="00DB1094">
        <w:rPr>
          <w:b/>
          <w:lang w:eastAsia="lt-LT"/>
        </w:rPr>
        <w:t>2021 METŲ VEIKLOS ATASKAITA</w:t>
      </w:r>
    </w:p>
    <w:p w:rsidR="00230038" w:rsidRDefault="00230038" w:rsidP="00933678">
      <w:pPr>
        <w:ind w:firstLine="709"/>
        <w:jc w:val="both"/>
      </w:pPr>
    </w:p>
    <w:tbl>
      <w:tblPr>
        <w:tblW w:w="0" w:type="auto"/>
        <w:tblInd w:w="-147" w:type="dxa"/>
        <w:tblLook w:val="04A0" w:firstRow="1" w:lastRow="0" w:firstColumn="1" w:lastColumn="0" w:noHBand="0" w:noVBand="1"/>
      </w:tblPr>
      <w:tblGrid>
        <w:gridCol w:w="9775"/>
      </w:tblGrid>
      <w:tr w:rsidR="00347D6C" w:rsidRPr="00DB1094" w:rsidTr="006C687F">
        <w:tc>
          <w:tcPr>
            <w:tcW w:w="9775" w:type="dxa"/>
          </w:tcPr>
          <w:p w:rsidR="00347D6C" w:rsidRPr="00347D6C" w:rsidRDefault="00347D6C" w:rsidP="00CD100F">
            <w:pPr>
              <w:ind w:firstLine="603"/>
              <w:jc w:val="both"/>
              <w:rPr>
                <w:strike/>
              </w:rPr>
            </w:pPr>
            <w:r w:rsidRPr="00347D6C">
              <w:t xml:space="preserve">Klaipėdos moksleivių saviraiškos centras (toliau – MSC) vykdo neformaliojo vaikų švietimo programas, </w:t>
            </w:r>
            <w:r w:rsidRPr="00347D6C">
              <w:rPr>
                <w:bCs/>
              </w:rPr>
              <w:t>tenkina klaipėdiečių ugdymosi poreikius neformaliojo vaikų švietimo srityje. Užtikrinama ugdymo programų įvairovė bei siekiama sudaryti palankiausias galimybes atskleisti individualius mokinių gebėjimus</w:t>
            </w:r>
            <w:r w:rsidRPr="00347D6C">
              <w:t>. 2021-10-01 duomenimis MSC būrelius lankė 850  mokinių (2020 m. – 940). Būrelius lankančių mokinių sumažėjo dėl mažesnio</w:t>
            </w:r>
            <w:r w:rsidRPr="00347D6C">
              <w:rPr>
                <w:rFonts w:eastAsia="Calibri"/>
                <w:bCs/>
              </w:rPr>
              <w:t xml:space="preserve"> vykdomų neformaliojo vaikų švietimo programų skaičiaus 2021–2022 m. m. Didelės neigiamos įtakos</w:t>
            </w:r>
            <w:r w:rsidRPr="00347D6C">
              <w:rPr>
                <w:rFonts w:eastAsia="Calibri"/>
                <w:bCs/>
                <w:color w:val="FF0000"/>
              </w:rPr>
              <w:t xml:space="preserve"> </w:t>
            </w:r>
            <w:r w:rsidRPr="00347D6C">
              <w:rPr>
                <w:rFonts w:eastAsia="Calibri"/>
                <w:bCs/>
              </w:rPr>
              <w:t>turėjo ir ilgalaikis ugdymo proceso vykdymas nuotoliniu būdu bei apribojimai dėl Covid-19 grėsmės</w:t>
            </w:r>
            <w:r w:rsidRPr="00347D6C">
              <w:rPr>
                <w:spacing w:val="2"/>
                <w:shd w:val="clear" w:color="auto" w:fill="FFFFFF"/>
              </w:rPr>
              <w:t xml:space="preserve">. </w:t>
            </w:r>
            <w:r w:rsidRPr="00347D6C">
              <w:t>Dirbo 49 pedagogai, (2020 m. – 54 pedagogai) ir 21 nepedagoginis darbuotojas  (2020 m. – 20 darbuotojų). MSC veiklos užtikrinimui skirta 61,44 etato.</w:t>
            </w:r>
          </w:p>
          <w:p w:rsidR="00347D6C" w:rsidRPr="00347D6C" w:rsidRDefault="00347D6C" w:rsidP="00CD100F">
            <w:pPr>
              <w:pStyle w:val="Default"/>
              <w:ind w:firstLine="739"/>
              <w:jc w:val="both"/>
              <w:rPr>
                <w:color w:val="auto"/>
              </w:rPr>
            </w:pPr>
            <w:r w:rsidRPr="00347D6C">
              <w:rPr>
                <w:color w:val="auto"/>
              </w:rPr>
              <w:t>Praėjusiais metais MSC veikė vadovaudamasis 2021–2023 m. strateginiu planu (toliau – Strateginis planas) ir 2021 m. veiklos planu (toliau – Veiklos planas). MSC bendruomenė 2021 m. išsikėlė šias prioritetinės veiklos kryptis: 1) Neformaliojo vaikų švietimo veiklos tobulinimas ir edukacinių erdvių turtinimas; 2) Profesinis pedagogų skaitmeninio raštingumo tobulinimas (gilinimas), naudojant IKT ir jas integruojant į ugdymo procesą, taikant virtualias ir nuotoliniam mokymui(</w:t>
            </w:r>
            <w:proofErr w:type="spellStart"/>
            <w:r w:rsidRPr="00347D6C">
              <w:rPr>
                <w:color w:val="auto"/>
              </w:rPr>
              <w:t>si</w:t>
            </w:r>
            <w:proofErr w:type="spellEnd"/>
            <w:r w:rsidRPr="00347D6C">
              <w:rPr>
                <w:color w:val="auto"/>
              </w:rPr>
              <w:t>) skirtas platformas. MSC siekė tokio strateginio tikslo – užtikrinti ugdymo programų įvairovę ir kokybę. Strateginiam tikslui įgyvendinti Strateginiame ir Veiklos planuose buvo iškelti konkretūs veiklos tikslai ir uždaviniai, numatytos pamatuotos priemonės laukiamam rezultatui pasiekti.</w:t>
            </w:r>
          </w:p>
          <w:p w:rsidR="00347D6C" w:rsidRPr="00347D6C" w:rsidRDefault="00347D6C" w:rsidP="00CD100F">
            <w:pPr>
              <w:ind w:firstLine="603"/>
              <w:jc w:val="both"/>
              <w:rPr>
                <w:strike/>
              </w:rPr>
            </w:pPr>
            <w:r w:rsidRPr="00347D6C">
              <w:t xml:space="preserve">Siekiant Strateginio plano pirmojo tikslo – </w:t>
            </w:r>
            <w:r w:rsidRPr="00347D6C">
              <w:rPr>
                <w:bCs/>
              </w:rPr>
              <w:t xml:space="preserve">užtikrinti neformaliojo švietimo programų įvairovę ir kokybę </w:t>
            </w:r>
            <w:r w:rsidRPr="00347D6C">
              <w:t xml:space="preserve">– MSC veikla buvo orientuojama į </w:t>
            </w:r>
            <w:r w:rsidRPr="00347D6C">
              <w:rPr>
                <w:bCs/>
                <w:lang w:eastAsia="lt-LT"/>
              </w:rPr>
              <w:t>kokybiško ugdymo proceso ir saugios aplinkos užtikrinimą, edukacinių aplinkų tobulinimą</w:t>
            </w:r>
            <w:r w:rsidRPr="00347D6C">
              <w:t xml:space="preserve">. Tikslui pasiekti buvo vykdomi trys Veiklos plano uždaviniai: </w:t>
            </w:r>
          </w:p>
          <w:p w:rsidR="00347D6C" w:rsidRPr="00347D6C" w:rsidRDefault="00347D6C" w:rsidP="00CD100F">
            <w:pPr>
              <w:autoSpaceDE w:val="0"/>
              <w:autoSpaceDN w:val="0"/>
              <w:adjustRightInd w:val="0"/>
              <w:ind w:firstLine="709"/>
              <w:jc w:val="both"/>
            </w:pPr>
            <w:r w:rsidRPr="00347D6C">
              <w:t xml:space="preserve">– įgyvendinant pirmąjį uždavinį – organizuoti neformaliojo vaikų švietimo programų vykdymą – ugdomoji veikla buvo organizuojama techninės kūrybos ir estetinio lavinimo bei gamtininkų ir turizmo skyriuose. Vykdomos 62 neformaliojo vaikų švietimo programos, kurių turinys orientuotas į mokinių kompetencijų ugdymą, </w:t>
            </w:r>
            <w:proofErr w:type="spellStart"/>
            <w:r w:rsidRPr="00347D6C">
              <w:t>patyrimines</w:t>
            </w:r>
            <w:proofErr w:type="spellEnd"/>
            <w:r w:rsidRPr="00347D6C">
              <w:t xml:space="preserve"> ir pažintines veiklas. </w:t>
            </w:r>
            <w:r w:rsidRPr="00347D6C">
              <w:rPr>
                <w:spacing w:val="2"/>
                <w:shd w:val="clear" w:color="auto" w:fill="FFFFFF"/>
              </w:rPr>
              <w:t xml:space="preserve">Siekiant </w:t>
            </w:r>
            <w:r w:rsidRPr="00347D6C">
              <w:t>paskatinti vaikų domėjimąsi inovacijomis, techninės krypties dalykais, pradėta vykdyti „STEAM laboratorijos“ programa. Parengta nauja „Kinologijos“ programa, kurią 2021 m. lankė 23 Gamtininkų skyriaus mokiniai. Užsiėmimai mokiniams vyko ne tik MSC patalpose, bet ir išorinėse edukacinėse aplinkose: muziejuose, amatų centruose, parkuose, Klaipėdos universiteto Botanikos sode, mobiliojoje mokslinėje laboratorijoje</w:t>
            </w:r>
            <w:r w:rsidRPr="00347D6C">
              <w:rPr>
                <w:spacing w:val="2"/>
                <w:shd w:val="clear" w:color="auto" w:fill="FFFFFF"/>
              </w:rPr>
              <w:t xml:space="preserve">. Buvo surengta 14 edukacinių pažintinių išvykų mokiniams, 16 virtualių atvirų užsiėmimų. </w:t>
            </w:r>
            <w:r w:rsidRPr="00347D6C">
              <w:t>Vykdant gabių ir talentingų vaikų ugdymo priemones, MSC mokiniai dalyvavo olimpiadose bei konkursuose, kuriuose 21 mokinys tapo miesto olimpiadų prizininku, 16 mokinių tapo respublikinių tiksliųjų mokslų olimpiadų nugalėtojais ir prizininkais.</w:t>
            </w:r>
          </w:p>
          <w:p w:rsidR="00347D6C" w:rsidRPr="00347D6C" w:rsidRDefault="00347D6C" w:rsidP="00347D6C">
            <w:pPr>
              <w:pStyle w:val="Sraopastraipa"/>
              <w:numPr>
                <w:ilvl w:val="0"/>
                <w:numId w:val="4"/>
              </w:numPr>
              <w:tabs>
                <w:tab w:val="left" w:pos="887"/>
              </w:tabs>
              <w:suppressAutoHyphens w:val="0"/>
              <w:spacing w:after="0" w:line="240" w:lineRule="auto"/>
              <w:ind w:left="0" w:firstLine="602"/>
              <w:jc w:val="both"/>
              <w:rPr>
                <w:rFonts w:ascii="Times New Roman" w:hAnsi="Times New Roman" w:cs="Times New Roman"/>
                <w:sz w:val="24"/>
                <w:szCs w:val="24"/>
              </w:rPr>
            </w:pPr>
            <w:r w:rsidRPr="00347D6C">
              <w:rPr>
                <w:rFonts w:ascii="Times New Roman" w:hAnsi="Times New Roman" w:cs="Times New Roman"/>
                <w:sz w:val="24"/>
                <w:szCs w:val="24"/>
              </w:rPr>
              <w:t>įgyvendinant antrąjį uždavinį – skatinti mokytojų profesinį tobulėjimą, aktyvinti bendradarbiavimą ir gerosios patirties</w:t>
            </w:r>
            <w:r w:rsidRPr="00347D6C">
              <w:rPr>
                <w:rFonts w:ascii="Times New Roman" w:hAnsi="Times New Roman" w:cs="Times New Roman"/>
                <w:b/>
                <w:bCs/>
                <w:sz w:val="24"/>
                <w:szCs w:val="24"/>
              </w:rPr>
              <w:t xml:space="preserve"> </w:t>
            </w:r>
            <w:r w:rsidRPr="00347D6C">
              <w:rPr>
                <w:rFonts w:ascii="Times New Roman" w:hAnsi="Times New Roman" w:cs="Times New Roman"/>
                <w:sz w:val="24"/>
                <w:szCs w:val="24"/>
              </w:rPr>
              <w:t xml:space="preserve">sklaidą – išryškėjo mokytojų bendravimo ir bendradarbiavimo, patirties dalijimosi svarba.  Geranoriškas bendradarbiavimas sustiprino mokytojų kolektyvą ir padėjo įveikti nuotolinio darbo iššūkius. MSC dirbo 49 mokytojai: 9 iš jų vyresnieji mokytojai, 19 – mokytojų metodininkų, 9 – mokytojai ekspertai. 2021 m. MSC mokytojai tobulino kvalifikaciją 455 dienas, pravedė 8 seminarus </w:t>
            </w:r>
            <w:r w:rsidRPr="00347D6C">
              <w:rPr>
                <w:rFonts w:ascii="Times New Roman" w:hAnsi="Times New Roman" w:cs="Times New Roman"/>
                <w:color w:val="FF0000"/>
                <w:sz w:val="24"/>
                <w:szCs w:val="24"/>
              </w:rPr>
              <w:t xml:space="preserve"> </w:t>
            </w:r>
            <w:r w:rsidRPr="00347D6C">
              <w:rPr>
                <w:rFonts w:ascii="Times New Roman" w:hAnsi="Times New Roman" w:cs="Times New Roman"/>
                <w:sz w:val="24"/>
                <w:szCs w:val="24"/>
              </w:rPr>
              <w:t xml:space="preserve">MSC ir miesto pedagogams skaitmeninių įrankių naudojimo ugdymo procese temomis, skaitė 15 pranešimų respublikiniuose ir miesto metodiniuose renginiuose. </w:t>
            </w:r>
            <w:r w:rsidRPr="00347D6C">
              <w:rPr>
                <w:rFonts w:ascii="Times New Roman" w:hAnsi="Times New Roman" w:cs="Times New Roman"/>
                <w:bCs/>
                <w:sz w:val="24"/>
                <w:szCs w:val="24"/>
              </w:rPr>
              <w:t>Sukurtas skaitmeninių ugdymo priemonių bankas, naudojamas ugdymo procese ir organizuojant renginius.</w:t>
            </w:r>
            <w:r w:rsidRPr="00347D6C">
              <w:rPr>
                <w:rFonts w:ascii="Times New Roman" w:hAnsi="Times New Roman" w:cs="Times New Roman"/>
                <w:sz w:val="24"/>
                <w:szCs w:val="24"/>
              </w:rPr>
              <w:t xml:space="preserve"> Vykdant mokytojų atestacijos programą, 3 mokytojams buvo suteikta </w:t>
            </w:r>
            <w:r w:rsidRPr="00347D6C">
              <w:rPr>
                <w:rFonts w:ascii="Times New Roman" w:hAnsi="Times New Roman" w:cs="Times New Roman"/>
                <w:sz w:val="24"/>
                <w:szCs w:val="24"/>
              </w:rPr>
              <w:lastRenderedPageBreak/>
              <w:t>vyresniojo mokytojo kategorija. Vis aktualesnė tampa pedagogų kartų kaitos problema. Trūkstant mokytojų, pasirašyta bendradarbiavimo sutartis su Klaipėdos valstybine kolegija, numatanti galimybes kolegijos studentams atlikti specialybės praktiką MSC, susipažinti su vykdomomis veiklomis bei programomis, įsilieti į MSC mokytojų gretas.</w:t>
            </w:r>
          </w:p>
          <w:p w:rsidR="00347D6C" w:rsidRPr="00347D6C" w:rsidRDefault="00347D6C" w:rsidP="00347D6C">
            <w:pPr>
              <w:pStyle w:val="Sraopastraipa"/>
              <w:numPr>
                <w:ilvl w:val="0"/>
                <w:numId w:val="3"/>
              </w:numPr>
              <w:tabs>
                <w:tab w:val="left" w:pos="887"/>
              </w:tabs>
              <w:suppressAutoHyphens w:val="0"/>
              <w:spacing w:after="0" w:line="240" w:lineRule="auto"/>
              <w:ind w:left="0" w:firstLine="603"/>
              <w:jc w:val="both"/>
              <w:rPr>
                <w:rFonts w:ascii="Times New Roman" w:hAnsi="Times New Roman" w:cs="Times New Roman"/>
                <w:sz w:val="24"/>
                <w:szCs w:val="24"/>
              </w:rPr>
            </w:pPr>
            <w:r w:rsidRPr="00347D6C">
              <w:rPr>
                <w:rFonts w:ascii="Times New Roman" w:hAnsi="Times New Roman" w:cs="Times New Roman"/>
                <w:sz w:val="24"/>
                <w:szCs w:val="24"/>
              </w:rPr>
              <w:t>įgyvendinant trečiąjį uždavinį – kurti  funkcionalią mokymo(</w:t>
            </w:r>
            <w:proofErr w:type="spellStart"/>
            <w:r w:rsidRPr="00347D6C">
              <w:rPr>
                <w:rFonts w:ascii="Times New Roman" w:hAnsi="Times New Roman" w:cs="Times New Roman"/>
                <w:sz w:val="24"/>
                <w:szCs w:val="24"/>
              </w:rPr>
              <w:t>si</w:t>
            </w:r>
            <w:proofErr w:type="spellEnd"/>
            <w:r w:rsidRPr="00347D6C">
              <w:rPr>
                <w:rFonts w:ascii="Times New Roman" w:hAnsi="Times New Roman" w:cs="Times New Roman"/>
                <w:sz w:val="24"/>
                <w:szCs w:val="24"/>
              </w:rPr>
              <w:t>) aplinką, atitinkančią bendruomenės poreikius – MSC veikla buvo orientuojama į edukacinių aplinkų kūrimą, patalpų būklės atnaujinimą, šiuolaikinių ugdymo(</w:t>
            </w:r>
            <w:proofErr w:type="spellStart"/>
            <w:r w:rsidRPr="00347D6C">
              <w:rPr>
                <w:rFonts w:ascii="Times New Roman" w:hAnsi="Times New Roman" w:cs="Times New Roman"/>
                <w:sz w:val="24"/>
                <w:szCs w:val="24"/>
              </w:rPr>
              <w:t>si</w:t>
            </w:r>
            <w:proofErr w:type="spellEnd"/>
            <w:r w:rsidRPr="00347D6C">
              <w:rPr>
                <w:rFonts w:ascii="Times New Roman" w:hAnsi="Times New Roman" w:cs="Times New Roman"/>
                <w:sz w:val="24"/>
                <w:szCs w:val="24"/>
              </w:rPr>
              <w:t xml:space="preserve">) priemonių įsigijimą. Atlikus remontą aktų salėje, atnaujintos vaizdo ir garso sistemos, sutvarkytos laivų modelių baseino grindys, suremontuotos modernių technologijų laboratorijos patalpos, pagerintas apšvietimas </w:t>
            </w:r>
            <w:proofErr w:type="spellStart"/>
            <w:r w:rsidRPr="00347D6C">
              <w:rPr>
                <w:rFonts w:ascii="Times New Roman" w:hAnsi="Times New Roman" w:cs="Times New Roman"/>
                <w:sz w:val="24"/>
                <w:szCs w:val="24"/>
              </w:rPr>
              <w:t>trasinio</w:t>
            </w:r>
            <w:proofErr w:type="spellEnd"/>
            <w:r w:rsidRPr="00347D6C">
              <w:rPr>
                <w:rFonts w:ascii="Times New Roman" w:hAnsi="Times New Roman" w:cs="Times New Roman"/>
                <w:sz w:val="24"/>
                <w:szCs w:val="24"/>
              </w:rPr>
              <w:t xml:space="preserve"> modeliavimo ir turizmo kabinetuose, įrengtas lauko apšvietimas. Pateiktos paraiškos dėl sporto salės grindų remonto ir modernių technologijų laboratorijos patalpų pritaikymo. Įsigyta džiovinimo spinta keramikos darbams, motoroleris saugaus eismo mokymui, 7 projektoriai būreliams, atnaujinta kompiuterinė technika ir mokymo priemonės STEAM laboratorijoje, medijų, išmaniųjų technologijų ir  turizmo būreliuose, nupirkta baldų dailės technologijų būreliams. Sėkmingesniam darbui ir ugdymo kokybei pagerinti būtinas spartesnis įrangos ir inventoriaus atnaujinimas.</w:t>
            </w:r>
          </w:p>
          <w:p w:rsidR="00347D6C" w:rsidRPr="00347D6C" w:rsidRDefault="00347D6C" w:rsidP="00CD100F">
            <w:pPr>
              <w:ind w:firstLine="603"/>
              <w:jc w:val="both"/>
              <w:rPr>
                <w:strike/>
              </w:rPr>
            </w:pPr>
            <w:r w:rsidRPr="00347D6C">
              <w:t>Siekiant Strateginio plano antrojo tikslo – t</w:t>
            </w:r>
            <w:r w:rsidRPr="00347D6C">
              <w:rPr>
                <w:bCs/>
              </w:rPr>
              <w:t>enkinti bendruomenės saviraiškos poreikius</w:t>
            </w:r>
            <w:r w:rsidRPr="00347D6C">
              <w:t xml:space="preserve"> – MSC veikla buvo nukreipta užtikrinti bendruomenės poreikius saviraiškai ir užimtumui. Tobulinant bendruomenės informavimą sukurta nauja MSC interneto svetainė, kurioje šiuolaikiškai pateikiama informacija apie centro veiklą ir pasiekimus. Tikslui pasiekti buvo vykdomi du Strateginio plano uždaviniai: </w:t>
            </w:r>
          </w:p>
          <w:p w:rsidR="00347D6C" w:rsidRPr="00347D6C" w:rsidRDefault="00347D6C" w:rsidP="00347D6C">
            <w:pPr>
              <w:pStyle w:val="Sraopastraipa"/>
              <w:numPr>
                <w:ilvl w:val="0"/>
                <w:numId w:val="3"/>
              </w:numPr>
              <w:tabs>
                <w:tab w:val="left" w:pos="887"/>
              </w:tabs>
              <w:suppressAutoHyphens w:val="0"/>
              <w:spacing w:after="0" w:line="240" w:lineRule="auto"/>
              <w:ind w:left="0" w:firstLine="603"/>
              <w:jc w:val="both"/>
              <w:rPr>
                <w:rFonts w:ascii="Times New Roman" w:hAnsi="Times New Roman" w:cs="Times New Roman"/>
                <w:sz w:val="24"/>
                <w:szCs w:val="24"/>
              </w:rPr>
            </w:pPr>
            <w:r w:rsidRPr="00347D6C">
              <w:rPr>
                <w:rFonts w:ascii="Times New Roman" w:hAnsi="Times New Roman" w:cs="Times New Roman"/>
                <w:sz w:val="24"/>
                <w:szCs w:val="24"/>
              </w:rPr>
              <w:t>įgyvendinant pirmąjį uždavinį – t</w:t>
            </w:r>
            <w:r w:rsidRPr="00347D6C">
              <w:rPr>
                <w:rFonts w:ascii="Times New Roman" w:hAnsi="Times New Roman" w:cs="Times New Roman"/>
                <w:bCs/>
                <w:sz w:val="24"/>
                <w:szCs w:val="24"/>
              </w:rPr>
              <w:t>enkinti mokinių saviraiškos poreikius</w:t>
            </w:r>
            <w:r w:rsidRPr="00347D6C">
              <w:rPr>
                <w:rFonts w:ascii="Times New Roman" w:hAnsi="Times New Roman" w:cs="Times New Roman"/>
                <w:b/>
                <w:sz w:val="24"/>
                <w:szCs w:val="24"/>
              </w:rPr>
              <w:t xml:space="preserve"> </w:t>
            </w:r>
            <w:r w:rsidRPr="00347D6C">
              <w:rPr>
                <w:rFonts w:ascii="Times New Roman" w:hAnsi="Times New Roman" w:cs="Times New Roman"/>
                <w:sz w:val="24"/>
                <w:szCs w:val="24"/>
              </w:rPr>
              <w:t>– parengta ir įvykdyta edukacinių ir kultūrinių renginių programa sudarė vaikams galimybes saviraiškai įvairiuose konkursuose ir festivaliuose, parodose bei varžybose. Dėl neformaliojo vaikų švietimo organizavimo būtinų sąlygų apribojimų, 10 procentų planuotų renginių neįvyko, 50 procentų organizuota virtualioje aplinkoje. Sur</w:t>
            </w:r>
            <w:r w:rsidRPr="00347D6C">
              <w:rPr>
                <w:rFonts w:ascii="Times New Roman" w:hAnsi="Times New Roman" w:cs="Times New Roman"/>
                <w:bCs/>
                <w:sz w:val="24"/>
                <w:szCs w:val="24"/>
              </w:rPr>
              <w:t xml:space="preserve">engtos </w:t>
            </w:r>
            <w:proofErr w:type="spellStart"/>
            <w:r w:rsidRPr="00347D6C">
              <w:rPr>
                <w:rFonts w:ascii="Times New Roman" w:hAnsi="Times New Roman" w:cs="Times New Roman"/>
                <w:bCs/>
                <w:sz w:val="24"/>
                <w:szCs w:val="24"/>
              </w:rPr>
              <w:t>robotikos</w:t>
            </w:r>
            <w:proofErr w:type="spellEnd"/>
            <w:r w:rsidRPr="00347D6C">
              <w:rPr>
                <w:rFonts w:ascii="Times New Roman" w:hAnsi="Times New Roman" w:cs="Times New Roman"/>
                <w:bCs/>
                <w:sz w:val="24"/>
                <w:szCs w:val="24"/>
              </w:rPr>
              <w:t xml:space="preserve">, turizmo technikos, laipiojimo uolomis varžybos, turizmo sąskrydis „Baltijos pavasaris“, vykdyti </w:t>
            </w:r>
            <w:r w:rsidRPr="00347D6C">
              <w:rPr>
                <w:rFonts w:ascii="Times New Roman" w:hAnsi="Times New Roman" w:cs="Times New Roman"/>
                <w:sz w:val="24"/>
                <w:szCs w:val="24"/>
              </w:rPr>
              <w:t xml:space="preserve">inžinerinio ugdymo projektai </w:t>
            </w:r>
            <w:r w:rsidRPr="00347D6C">
              <w:rPr>
                <w:rFonts w:ascii="Times New Roman" w:hAnsi="Times New Roman" w:cs="Times New Roman"/>
                <w:bCs/>
                <w:sz w:val="24"/>
                <w:szCs w:val="24"/>
              </w:rPr>
              <w:t xml:space="preserve">„Konstruoju ir startuoju“ ir „Išskleisk bures“, 11-oji Klaipėdos mokinių jaunųjų bendrovių EXPO mugė, edukaciniai miesto istorijos pažinimo projektai, surengtos 28 keramikos studijos mokinių parodos. </w:t>
            </w:r>
            <w:r w:rsidRPr="00347D6C">
              <w:rPr>
                <w:rFonts w:ascii="Times New Roman" w:hAnsi="Times New Roman" w:cs="Times New Roman"/>
                <w:sz w:val="24"/>
                <w:szCs w:val="24"/>
              </w:rPr>
              <w:t xml:space="preserve">Virtualioje aplinkoje sėkmingai organizuota 12 parodų, 5 konkursai miesto mokyklų mokiniams, 5 mokinių darbų konferencijos, kurios nesumažino šių renginių įgyvendinimo kokybės. Pavyko nuotolinio mokymo laikotarpiu surengti bekontakčius miesto pažinimo projektus, kuriuose vaikai kartu su šeimos nariais galėjo susipažinti su miesto parkais, miesto istorijos įvykiais, skelbiant informaciją virtualioje erdvėje ir atrandant nurodytus objektus realybėje. Mokiniai sėkmingai  dalyvavo respublikiniame laipiojimo sporto festivalyje ir iškovojo 4 prizines vietas, respublikinėse laivų modelių varžybose laimėjo 3 prizines vietas, 4 mokiniai pelnė apdovanojimus respublikiniuose mokinių kino filmų festivaliuose, 5 mokiniai pateikė tiriamuosius darbus Nacionaliniam jaunųjų mokslininkų konkursui, 3 mokiniai dalyvavo respublikinėje tiriamųjų darbų Idėjų mugėje. Būrelių nariai atstovavo Lietuvą tarptautiniame </w:t>
            </w:r>
            <w:proofErr w:type="spellStart"/>
            <w:r w:rsidRPr="00347D6C">
              <w:rPr>
                <w:rFonts w:ascii="Times New Roman" w:hAnsi="Times New Roman" w:cs="Times New Roman"/>
                <w:sz w:val="24"/>
                <w:szCs w:val="24"/>
              </w:rPr>
              <w:t>CoderZ</w:t>
            </w:r>
            <w:proofErr w:type="spellEnd"/>
            <w:r w:rsidRPr="00347D6C">
              <w:rPr>
                <w:rFonts w:ascii="Times New Roman" w:hAnsi="Times New Roman" w:cs="Times New Roman"/>
                <w:sz w:val="24"/>
                <w:szCs w:val="24"/>
              </w:rPr>
              <w:t xml:space="preserve"> konkurse „</w:t>
            </w:r>
            <w:proofErr w:type="spellStart"/>
            <w:r w:rsidRPr="00347D6C">
              <w:rPr>
                <w:rFonts w:ascii="Times New Roman" w:hAnsi="Times New Roman" w:cs="Times New Roman"/>
                <w:sz w:val="24"/>
                <w:szCs w:val="24"/>
              </w:rPr>
              <w:t>Sprint</w:t>
            </w:r>
            <w:proofErr w:type="spellEnd"/>
            <w:r w:rsidRPr="00347D6C">
              <w:rPr>
                <w:rFonts w:ascii="Times New Roman" w:hAnsi="Times New Roman" w:cs="Times New Roman"/>
                <w:sz w:val="24"/>
                <w:szCs w:val="24"/>
              </w:rPr>
              <w:t xml:space="preserve"> </w:t>
            </w:r>
            <w:proofErr w:type="spellStart"/>
            <w:r w:rsidRPr="00347D6C">
              <w:rPr>
                <w:rFonts w:ascii="Times New Roman" w:hAnsi="Times New Roman" w:cs="Times New Roman"/>
                <w:sz w:val="24"/>
                <w:szCs w:val="24"/>
              </w:rPr>
              <w:t>Challenge</w:t>
            </w:r>
            <w:proofErr w:type="spellEnd"/>
            <w:r w:rsidRPr="00347D6C">
              <w:rPr>
                <w:rFonts w:ascii="Times New Roman" w:hAnsi="Times New Roman" w:cs="Times New Roman"/>
                <w:sz w:val="24"/>
                <w:szCs w:val="24"/>
              </w:rPr>
              <w:t xml:space="preserve"> 2021 </w:t>
            </w:r>
            <w:proofErr w:type="spellStart"/>
            <w:r w:rsidRPr="00347D6C">
              <w:rPr>
                <w:rFonts w:ascii="Times New Roman" w:hAnsi="Times New Roman" w:cs="Times New Roman"/>
                <w:sz w:val="24"/>
                <w:szCs w:val="24"/>
              </w:rPr>
              <w:t>Junior</w:t>
            </w:r>
            <w:proofErr w:type="spellEnd"/>
            <w:r w:rsidRPr="00347D6C">
              <w:rPr>
                <w:rFonts w:ascii="Times New Roman" w:hAnsi="Times New Roman" w:cs="Times New Roman"/>
                <w:sz w:val="24"/>
                <w:szCs w:val="24"/>
              </w:rPr>
              <w:t>“ ir „</w:t>
            </w:r>
            <w:proofErr w:type="spellStart"/>
            <w:r w:rsidRPr="00347D6C">
              <w:rPr>
                <w:rFonts w:ascii="Times New Roman" w:hAnsi="Times New Roman" w:cs="Times New Roman"/>
                <w:sz w:val="24"/>
                <w:szCs w:val="24"/>
              </w:rPr>
              <w:t>Ventspils</w:t>
            </w:r>
            <w:proofErr w:type="spellEnd"/>
            <w:r w:rsidRPr="00347D6C">
              <w:rPr>
                <w:rFonts w:ascii="Times New Roman" w:hAnsi="Times New Roman" w:cs="Times New Roman"/>
                <w:sz w:val="24"/>
                <w:szCs w:val="24"/>
              </w:rPr>
              <w:t xml:space="preserve"> IT </w:t>
            </w:r>
            <w:proofErr w:type="spellStart"/>
            <w:r w:rsidRPr="00347D6C">
              <w:rPr>
                <w:rFonts w:ascii="Times New Roman" w:hAnsi="Times New Roman" w:cs="Times New Roman"/>
                <w:sz w:val="24"/>
                <w:szCs w:val="24"/>
              </w:rPr>
              <w:t>Challenge</w:t>
            </w:r>
            <w:proofErr w:type="spellEnd"/>
            <w:r w:rsidRPr="00347D6C">
              <w:rPr>
                <w:rFonts w:ascii="Times New Roman" w:hAnsi="Times New Roman" w:cs="Times New Roman"/>
                <w:sz w:val="24"/>
                <w:szCs w:val="24"/>
              </w:rPr>
              <w:t xml:space="preserve"> 2021“ finale, dalyvavo </w:t>
            </w:r>
            <w:r w:rsidRPr="00347D6C">
              <w:rPr>
                <w:rFonts w:ascii="Times New Roman" w:eastAsia="Lucida Sans Unicode" w:hAnsi="Times New Roman" w:cs="Times New Roman"/>
                <w:sz w:val="24"/>
                <w:szCs w:val="24"/>
              </w:rPr>
              <w:t>„</w:t>
            </w:r>
            <w:proofErr w:type="spellStart"/>
            <w:r w:rsidRPr="00347D6C">
              <w:rPr>
                <w:rFonts w:ascii="Times New Roman" w:eastAsia="Lucida Sans Unicode" w:hAnsi="Times New Roman" w:cs="Times New Roman"/>
                <w:sz w:val="24"/>
                <w:szCs w:val="24"/>
              </w:rPr>
              <w:t>Globe</w:t>
            </w:r>
            <w:proofErr w:type="spellEnd"/>
            <w:r w:rsidRPr="00347D6C">
              <w:rPr>
                <w:rFonts w:ascii="Times New Roman" w:eastAsia="Lucida Sans Unicode" w:hAnsi="Times New Roman" w:cs="Times New Roman"/>
                <w:sz w:val="24"/>
                <w:szCs w:val="24"/>
              </w:rPr>
              <w:t>“, „</w:t>
            </w:r>
            <w:proofErr w:type="spellStart"/>
            <w:r w:rsidRPr="00347D6C">
              <w:rPr>
                <w:rFonts w:ascii="Times New Roman" w:eastAsia="Lucida Sans Unicode" w:hAnsi="Times New Roman" w:cs="Times New Roman"/>
                <w:sz w:val="24"/>
                <w:szCs w:val="24"/>
              </w:rPr>
              <w:t>First</w:t>
            </w:r>
            <w:proofErr w:type="spellEnd"/>
            <w:r w:rsidRPr="00347D6C">
              <w:rPr>
                <w:rFonts w:ascii="Times New Roman" w:eastAsia="Lucida Sans Unicode" w:hAnsi="Times New Roman" w:cs="Times New Roman"/>
                <w:sz w:val="24"/>
                <w:szCs w:val="24"/>
              </w:rPr>
              <w:t xml:space="preserve"> </w:t>
            </w:r>
            <w:proofErr w:type="spellStart"/>
            <w:r w:rsidRPr="00347D6C">
              <w:rPr>
                <w:rFonts w:ascii="Times New Roman" w:eastAsia="Lucida Sans Unicode" w:hAnsi="Times New Roman" w:cs="Times New Roman"/>
                <w:sz w:val="24"/>
                <w:szCs w:val="24"/>
              </w:rPr>
              <w:t>Lego</w:t>
            </w:r>
            <w:proofErr w:type="spellEnd"/>
            <w:r w:rsidRPr="00347D6C">
              <w:rPr>
                <w:rFonts w:ascii="Times New Roman" w:eastAsia="Lucida Sans Unicode" w:hAnsi="Times New Roman" w:cs="Times New Roman"/>
                <w:sz w:val="24"/>
                <w:szCs w:val="24"/>
              </w:rPr>
              <w:t xml:space="preserve"> </w:t>
            </w:r>
            <w:proofErr w:type="spellStart"/>
            <w:r w:rsidRPr="00347D6C">
              <w:rPr>
                <w:rFonts w:ascii="Times New Roman" w:eastAsia="Lucida Sans Unicode" w:hAnsi="Times New Roman" w:cs="Times New Roman"/>
                <w:sz w:val="24"/>
                <w:szCs w:val="24"/>
              </w:rPr>
              <w:t>league</w:t>
            </w:r>
            <w:proofErr w:type="spellEnd"/>
            <w:r w:rsidRPr="00347D6C">
              <w:rPr>
                <w:rFonts w:ascii="Times New Roman" w:eastAsia="Lucida Sans Unicode" w:hAnsi="Times New Roman" w:cs="Times New Roman"/>
                <w:sz w:val="24"/>
                <w:szCs w:val="24"/>
              </w:rPr>
              <w:t xml:space="preserve">“, Baltijos jūros projektų veiklose, dviejuose </w:t>
            </w:r>
            <w:proofErr w:type="spellStart"/>
            <w:r w:rsidRPr="00347D6C">
              <w:rPr>
                <w:rFonts w:ascii="Times New Roman" w:eastAsia="Lucida Sans Unicode" w:hAnsi="Times New Roman" w:cs="Times New Roman"/>
                <w:sz w:val="24"/>
                <w:szCs w:val="24"/>
              </w:rPr>
              <w:t>eTwinning</w:t>
            </w:r>
            <w:proofErr w:type="spellEnd"/>
            <w:r w:rsidRPr="00347D6C">
              <w:rPr>
                <w:rFonts w:ascii="Times New Roman" w:eastAsia="Lucida Sans Unicode" w:hAnsi="Times New Roman" w:cs="Times New Roman"/>
                <w:sz w:val="24"/>
                <w:szCs w:val="24"/>
              </w:rPr>
              <w:t xml:space="preserve"> programos projektuose.</w:t>
            </w:r>
          </w:p>
          <w:p w:rsidR="00347D6C" w:rsidRDefault="00347D6C" w:rsidP="00347D6C">
            <w:pPr>
              <w:pStyle w:val="Sraopastraipa"/>
              <w:numPr>
                <w:ilvl w:val="0"/>
                <w:numId w:val="3"/>
              </w:numPr>
              <w:tabs>
                <w:tab w:val="left" w:pos="887"/>
              </w:tabs>
              <w:suppressAutoHyphens w:val="0"/>
              <w:spacing w:after="0" w:line="240" w:lineRule="auto"/>
              <w:ind w:left="0" w:firstLine="603"/>
              <w:jc w:val="both"/>
              <w:rPr>
                <w:rFonts w:ascii="Times New Roman" w:hAnsi="Times New Roman" w:cs="Times New Roman"/>
                <w:sz w:val="24"/>
                <w:szCs w:val="24"/>
              </w:rPr>
            </w:pPr>
            <w:r w:rsidRPr="00347D6C">
              <w:rPr>
                <w:rFonts w:ascii="Times New Roman" w:hAnsi="Times New Roman" w:cs="Times New Roman"/>
                <w:sz w:val="24"/>
                <w:szCs w:val="24"/>
              </w:rPr>
              <w:t>įgyvendinant antrąjį uždavinį – o</w:t>
            </w:r>
            <w:r w:rsidRPr="00347D6C">
              <w:rPr>
                <w:rFonts w:ascii="Times New Roman" w:hAnsi="Times New Roman" w:cs="Times New Roman"/>
                <w:bCs/>
                <w:sz w:val="24"/>
                <w:szCs w:val="24"/>
              </w:rPr>
              <w:t>rganizuoti vaikų vasaros užimtumą</w:t>
            </w:r>
            <w:r w:rsidRPr="00347D6C">
              <w:rPr>
                <w:rFonts w:ascii="Times New Roman" w:hAnsi="Times New Roman" w:cs="Times New Roman"/>
                <w:b/>
                <w:sz w:val="24"/>
                <w:szCs w:val="24"/>
              </w:rPr>
              <w:t xml:space="preserve"> </w:t>
            </w:r>
            <w:r w:rsidRPr="00347D6C">
              <w:rPr>
                <w:rFonts w:ascii="Times New Roman" w:hAnsi="Times New Roman" w:cs="Times New Roman"/>
                <w:sz w:val="24"/>
                <w:szCs w:val="24"/>
              </w:rPr>
              <w:t>– buvo parengta 2021 m. MSC vasaros veiklos programa. Vyko edukaciniai užsiėmimai, pažintinės išvykos, įvairios projektinės tiriamosios veiklos. Dienos stovyklose dalyvavo 56 keramikos studijos „</w:t>
            </w:r>
            <w:proofErr w:type="spellStart"/>
            <w:r w:rsidRPr="00347D6C">
              <w:rPr>
                <w:rFonts w:ascii="Times New Roman" w:hAnsi="Times New Roman" w:cs="Times New Roman"/>
                <w:sz w:val="24"/>
                <w:szCs w:val="24"/>
              </w:rPr>
              <w:t>Žiezdrė</w:t>
            </w:r>
            <w:proofErr w:type="spellEnd"/>
            <w:r w:rsidRPr="00347D6C">
              <w:rPr>
                <w:rFonts w:ascii="Times New Roman" w:hAnsi="Times New Roman" w:cs="Times New Roman"/>
                <w:sz w:val="24"/>
                <w:szCs w:val="24"/>
              </w:rPr>
              <w:t xml:space="preserve">“ mokiniai, 22 dailės technologijų būrelio vaikai, 20 kraštotyrininkų stovyklavo Bitėnuose. Iš viso dieninėje stovykloje dalyvavo 98 MSC mokiniai. Sėkmingai įgyvendinta savivaldybės biudžeto lėšomis dalinai finansuojama vaikų vasaros poilsio programa „Vasara savo palapinėje 2021“. </w:t>
            </w:r>
            <w:r w:rsidRPr="00347D6C">
              <w:rPr>
                <w:rFonts w:ascii="Times New Roman" w:hAnsi="Times New Roman" w:cs="Times New Roman"/>
                <w:sz w:val="24"/>
                <w:szCs w:val="24"/>
                <w:lang w:eastAsia="lt-LT"/>
              </w:rPr>
              <w:t xml:space="preserve">Programoje dalyvavo 142 vaikai. Organizuotos 4 stovyklos: žygis dviračiais aplink Kuršių marias (21 dalyvis), stovykla Plateliuose (58 dalyviai), 3 dienų žygis baidarėmis Minijos upe (46 dalyviai) ir jaunųjų žvalgų stovykla prie </w:t>
            </w:r>
            <w:proofErr w:type="spellStart"/>
            <w:r w:rsidRPr="00347D6C">
              <w:rPr>
                <w:rFonts w:ascii="Times New Roman" w:hAnsi="Times New Roman" w:cs="Times New Roman"/>
                <w:sz w:val="24"/>
                <w:szCs w:val="24"/>
                <w:lang w:eastAsia="lt-LT"/>
              </w:rPr>
              <w:t>Kašučių</w:t>
            </w:r>
            <w:proofErr w:type="spellEnd"/>
            <w:r w:rsidRPr="00347D6C">
              <w:rPr>
                <w:rFonts w:ascii="Times New Roman" w:hAnsi="Times New Roman" w:cs="Times New Roman"/>
                <w:sz w:val="24"/>
                <w:szCs w:val="24"/>
                <w:lang w:eastAsia="lt-LT"/>
              </w:rPr>
              <w:t xml:space="preserve"> ežero (16 dalyvių). Iš viso 2021 m. vasaros stovyklose dalyvavo 240 mokinių. (2020 m. – 180).</w:t>
            </w:r>
          </w:p>
          <w:p w:rsidR="00347D6C" w:rsidRDefault="00347D6C" w:rsidP="00347D6C">
            <w:pPr>
              <w:pStyle w:val="Sraopastraipa"/>
              <w:tabs>
                <w:tab w:val="left" w:pos="887"/>
              </w:tabs>
              <w:suppressAutoHyphens w:val="0"/>
              <w:spacing w:after="0" w:line="240" w:lineRule="auto"/>
              <w:ind w:left="603"/>
              <w:jc w:val="both"/>
              <w:rPr>
                <w:rFonts w:ascii="Times New Roman" w:hAnsi="Times New Roman" w:cs="Times New Roman"/>
                <w:sz w:val="24"/>
                <w:szCs w:val="24"/>
                <w:lang w:eastAsia="lt-LT"/>
              </w:rPr>
            </w:pPr>
          </w:p>
          <w:p w:rsidR="00347D6C" w:rsidRPr="00347D6C" w:rsidRDefault="00347D6C" w:rsidP="00347D6C">
            <w:pPr>
              <w:pStyle w:val="Sraopastraipa"/>
              <w:tabs>
                <w:tab w:val="left" w:pos="887"/>
              </w:tabs>
              <w:suppressAutoHyphens w:val="0"/>
              <w:spacing w:after="0" w:line="240" w:lineRule="auto"/>
              <w:ind w:left="603"/>
              <w:jc w:val="both"/>
              <w:rPr>
                <w:rFonts w:ascii="Times New Roman" w:hAnsi="Times New Roman" w:cs="Times New Roman"/>
                <w:sz w:val="24"/>
                <w:szCs w:val="24"/>
              </w:rPr>
            </w:pPr>
          </w:p>
          <w:p w:rsidR="00347D6C" w:rsidRPr="00347D6C" w:rsidRDefault="00347D6C" w:rsidP="001265AF">
            <w:pPr>
              <w:pStyle w:val="Sraopastraipa"/>
              <w:tabs>
                <w:tab w:val="left" w:pos="887"/>
              </w:tabs>
              <w:spacing w:after="0"/>
              <w:ind w:left="603"/>
              <w:jc w:val="both"/>
              <w:rPr>
                <w:rFonts w:ascii="Times New Roman" w:hAnsi="Times New Roman" w:cs="Times New Roman"/>
                <w:sz w:val="24"/>
                <w:szCs w:val="24"/>
              </w:rPr>
            </w:pPr>
            <w:r w:rsidRPr="00347D6C">
              <w:rPr>
                <w:rFonts w:ascii="Times New Roman" w:hAnsi="Times New Roman" w:cs="Times New Roman"/>
                <w:sz w:val="24"/>
                <w:szCs w:val="24"/>
              </w:rPr>
              <w:lastRenderedPageBreak/>
              <w:t>2021 m. MSC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347D6C" w:rsidRPr="00DB1094" w:rsidTr="00CD100F">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347D6C" w:rsidRPr="00DB1094" w:rsidRDefault="00347D6C" w:rsidP="00CD100F">
                  <w:pPr>
                    <w:jc w:val="center"/>
                  </w:pPr>
                  <w:r w:rsidRPr="00DB1094">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347D6C" w:rsidRPr="00DB1094" w:rsidRDefault="00347D6C" w:rsidP="00CD100F">
                  <w:pPr>
                    <w:jc w:val="center"/>
                  </w:pPr>
                  <w:r w:rsidRPr="00DB1094">
                    <w:t xml:space="preserve">Lėšos (tūkst. </w:t>
                  </w:r>
                  <w:proofErr w:type="spellStart"/>
                  <w:r w:rsidRPr="00DB1094">
                    <w:t>Eur</w:t>
                  </w:r>
                  <w:proofErr w:type="spellEnd"/>
                  <w:r w:rsidRPr="00DB1094">
                    <w:t>)</w:t>
                  </w:r>
                </w:p>
              </w:tc>
              <w:tc>
                <w:tcPr>
                  <w:tcW w:w="2950" w:type="dxa"/>
                  <w:vMerge w:val="restart"/>
                  <w:tcBorders>
                    <w:top w:val="single" w:sz="4" w:space="0" w:color="auto"/>
                    <w:left w:val="single" w:sz="4" w:space="0" w:color="auto"/>
                    <w:right w:val="single" w:sz="4" w:space="0" w:color="auto"/>
                  </w:tcBorders>
                </w:tcPr>
                <w:p w:rsidR="00347D6C" w:rsidRPr="00DB1094" w:rsidRDefault="00347D6C" w:rsidP="00CD100F">
                  <w:pPr>
                    <w:jc w:val="center"/>
                  </w:pPr>
                  <w:r w:rsidRPr="00DB1094">
                    <w:t>Pastabos</w:t>
                  </w:r>
                </w:p>
                <w:p w:rsidR="00347D6C" w:rsidRPr="00DB1094" w:rsidRDefault="00347D6C" w:rsidP="00CD100F">
                  <w:pPr>
                    <w:jc w:val="center"/>
                  </w:pPr>
                </w:p>
              </w:tc>
            </w:tr>
            <w:tr w:rsidR="00347D6C" w:rsidRPr="00DB1094" w:rsidTr="00CD100F">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347D6C" w:rsidRPr="00DB1094" w:rsidRDefault="00347D6C" w:rsidP="00CD100F">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347D6C" w:rsidRPr="00DB1094" w:rsidRDefault="00347D6C" w:rsidP="00CD100F">
                  <w:pPr>
                    <w:jc w:val="center"/>
                  </w:pPr>
                  <w:r w:rsidRPr="00DB1094">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347D6C" w:rsidRPr="00DB1094" w:rsidRDefault="00347D6C" w:rsidP="00CD100F">
                  <w:pPr>
                    <w:jc w:val="center"/>
                  </w:pPr>
                  <w:r w:rsidRPr="00DB1094">
                    <w:t>Panaudota lėšų</w:t>
                  </w:r>
                </w:p>
              </w:tc>
              <w:tc>
                <w:tcPr>
                  <w:tcW w:w="1283" w:type="dxa"/>
                  <w:tcBorders>
                    <w:top w:val="single" w:sz="4" w:space="0" w:color="auto"/>
                    <w:left w:val="single" w:sz="4" w:space="0" w:color="auto"/>
                    <w:bottom w:val="single" w:sz="4" w:space="0" w:color="auto"/>
                    <w:right w:val="single" w:sz="4" w:space="0" w:color="auto"/>
                  </w:tcBorders>
                  <w:hideMark/>
                </w:tcPr>
                <w:p w:rsidR="00347D6C" w:rsidRPr="00DB1094" w:rsidRDefault="00347D6C" w:rsidP="00CD100F">
                  <w:pPr>
                    <w:jc w:val="center"/>
                  </w:pPr>
                  <w:r w:rsidRPr="00DB1094">
                    <w:t>Įvykdymas (%)</w:t>
                  </w:r>
                </w:p>
              </w:tc>
              <w:tc>
                <w:tcPr>
                  <w:tcW w:w="2950" w:type="dxa"/>
                  <w:vMerge/>
                  <w:tcBorders>
                    <w:left w:val="single" w:sz="4" w:space="0" w:color="auto"/>
                    <w:bottom w:val="single" w:sz="4" w:space="0" w:color="auto"/>
                    <w:right w:val="single" w:sz="4" w:space="0" w:color="auto"/>
                  </w:tcBorders>
                </w:tcPr>
                <w:p w:rsidR="00347D6C" w:rsidRPr="00DB1094" w:rsidRDefault="00347D6C" w:rsidP="00CD100F"/>
              </w:tc>
            </w:tr>
            <w:tr w:rsidR="00347D6C" w:rsidRPr="00DB1094" w:rsidTr="00CD100F">
              <w:trPr>
                <w:trHeight w:val="415"/>
              </w:trPr>
              <w:tc>
                <w:tcPr>
                  <w:tcW w:w="2333" w:type="dxa"/>
                  <w:tcBorders>
                    <w:top w:val="single" w:sz="4" w:space="0" w:color="auto"/>
                    <w:left w:val="single" w:sz="4" w:space="0" w:color="auto"/>
                    <w:bottom w:val="single" w:sz="4" w:space="0" w:color="auto"/>
                    <w:right w:val="single" w:sz="4" w:space="0" w:color="auto"/>
                  </w:tcBorders>
                  <w:hideMark/>
                </w:tcPr>
                <w:p w:rsidR="00347D6C" w:rsidRPr="00DB1094" w:rsidRDefault="00347D6C" w:rsidP="00CD100F">
                  <w:r w:rsidRPr="00DB1094">
                    <w:t>Savivaldybės biudžetas (SB)</w:t>
                  </w:r>
                </w:p>
              </w:tc>
              <w:tc>
                <w:tcPr>
                  <w:tcW w:w="1494" w:type="dxa"/>
                  <w:tcBorders>
                    <w:top w:val="single" w:sz="4" w:space="0" w:color="auto"/>
                    <w:left w:val="single" w:sz="4" w:space="0" w:color="auto"/>
                    <w:bottom w:val="single" w:sz="4" w:space="0" w:color="auto"/>
                    <w:right w:val="single" w:sz="4" w:space="0" w:color="auto"/>
                  </w:tcBorders>
                </w:tcPr>
                <w:p w:rsidR="00347D6C" w:rsidRPr="00DB1094" w:rsidRDefault="00347D6C" w:rsidP="00CD100F">
                  <w:r w:rsidRPr="00DB1094">
                    <w:t>982,4</w:t>
                  </w:r>
                </w:p>
              </w:tc>
              <w:tc>
                <w:tcPr>
                  <w:tcW w:w="1438" w:type="dxa"/>
                  <w:tcBorders>
                    <w:top w:val="single" w:sz="4" w:space="0" w:color="auto"/>
                    <w:left w:val="single" w:sz="4" w:space="0" w:color="auto"/>
                    <w:bottom w:val="single" w:sz="4" w:space="0" w:color="auto"/>
                    <w:right w:val="single" w:sz="4" w:space="0" w:color="auto"/>
                  </w:tcBorders>
                </w:tcPr>
                <w:p w:rsidR="00347D6C" w:rsidRPr="00DB1094" w:rsidRDefault="00347D6C" w:rsidP="00CD100F">
                  <w:r w:rsidRPr="00DB1094">
                    <w:t>982,4</w:t>
                  </w:r>
                </w:p>
              </w:tc>
              <w:tc>
                <w:tcPr>
                  <w:tcW w:w="1283" w:type="dxa"/>
                  <w:tcBorders>
                    <w:top w:val="single" w:sz="4" w:space="0" w:color="auto"/>
                    <w:left w:val="single" w:sz="4" w:space="0" w:color="auto"/>
                    <w:bottom w:val="single" w:sz="4" w:space="0" w:color="auto"/>
                    <w:right w:val="single" w:sz="4" w:space="0" w:color="auto"/>
                  </w:tcBorders>
                </w:tcPr>
                <w:p w:rsidR="00347D6C" w:rsidRPr="00DB1094" w:rsidRDefault="00347D6C" w:rsidP="00CD100F">
                  <w:r w:rsidRPr="00DB1094">
                    <w:t>100</w:t>
                  </w:r>
                </w:p>
              </w:tc>
              <w:tc>
                <w:tcPr>
                  <w:tcW w:w="2950" w:type="dxa"/>
                  <w:tcBorders>
                    <w:top w:val="single" w:sz="4" w:space="0" w:color="auto"/>
                    <w:left w:val="single" w:sz="4" w:space="0" w:color="auto"/>
                    <w:bottom w:val="single" w:sz="4" w:space="0" w:color="auto"/>
                    <w:right w:val="single" w:sz="4" w:space="0" w:color="auto"/>
                  </w:tcBorders>
                </w:tcPr>
                <w:p w:rsidR="00347D6C" w:rsidRPr="00DB1094" w:rsidRDefault="00347D6C" w:rsidP="00CD100F"/>
              </w:tc>
            </w:tr>
            <w:tr w:rsidR="00347D6C" w:rsidRPr="00DB1094" w:rsidTr="00CD100F">
              <w:tc>
                <w:tcPr>
                  <w:tcW w:w="2333" w:type="dxa"/>
                  <w:tcBorders>
                    <w:top w:val="single" w:sz="4" w:space="0" w:color="auto"/>
                    <w:left w:val="single" w:sz="4" w:space="0" w:color="auto"/>
                    <w:bottom w:val="single" w:sz="4" w:space="0" w:color="auto"/>
                    <w:right w:val="single" w:sz="4" w:space="0" w:color="auto"/>
                  </w:tcBorders>
                  <w:hideMark/>
                </w:tcPr>
                <w:p w:rsidR="00347D6C" w:rsidRPr="00DB1094" w:rsidRDefault="00347D6C" w:rsidP="00CD100F">
                  <w:r w:rsidRPr="00DB1094">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w:t>
                  </w:r>
                </w:p>
              </w:tc>
              <w:tc>
                <w:tcPr>
                  <w:tcW w:w="1438"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w:t>
                  </w:r>
                </w:p>
              </w:tc>
              <w:tc>
                <w:tcPr>
                  <w:tcW w:w="1283"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w:t>
                  </w:r>
                </w:p>
              </w:tc>
              <w:tc>
                <w:tcPr>
                  <w:tcW w:w="2950" w:type="dxa"/>
                  <w:tcBorders>
                    <w:top w:val="single" w:sz="4" w:space="0" w:color="auto"/>
                    <w:left w:val="single" w:sz="4" w:space="0" w:color="auto"/>
                    <w:bottom w:val="single" w:sz="4" w:space="0" w:color="auto"/>
                    <w:right w:val="single" w:sz="4" w:space="0" w:color="auto"/>
                  </w:tcBorders>
                </w:tcPr>
                <w:p w:rsidR="00347D6C" w:rsidRPr="00DB1094" w:rsidRDefault="00347D6C" w:rsidP="00CD100F"/>
              </w:tc>
            </w:tr>
            <w:tr w:rsidR="00347D6C" w:rsidRPr="00DB1094" w:rsidTr="00CD100F">
              <w:tc>
                <w:tcPr>
                  <w:tcW w:w="2333" w:type="dxa"/>
                  <w:tcBorders>
                    <w:top w:val="single" w:sz="4" w:space="0" w:color="auto"/>
                    <w:left w:val="single" w:sz="4" w:space="0" w:color="auto"/>
                    <w:bottom w:val="single" w:sz="4" w:space="0" w:color="auto"/>
                    <w:right w:val="single" w:sz="4" w:space="0" w:color="auto"/>
                  </w:tcBorders>
                  <w:hideMark/>
                </w:tcPr>
                <w:p w:rsidR="00347D6C" w:rsidRPr="00DB1094" w:rsidRDefault="00347D6C" w:rsidP="00CD100F">
                  <w:r w:rsidRPr="00DB1094">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46,1</w:t>
                  </w:r>
                </w:p>
              </w:tc>
              <w:tc>
                <w:tcPr>
                  <w:tcW w:w="1438"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15,6</w:t>
                  </w:r>
                </w:p>
              </w:tc>
              <w:tc>
                <w:tcPr>
                  <w:tcW w:w="1283"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34</w:t>
                  </w:r>
                </w:p>
              </w:tc>
              <w:tc>
                <w:tcPr>
                  <w:tcW w:w="2950" w:type="dxa"/>
                  <w:tcBorders>
                    <w:top w:val="single" w:sz="4" w:space="0" w:color="auto"/>
                    <w:left w:val="single" w:sz="4" w:space="0" w:color="auto"/>
                    <w:bottom w:val="single" w:sz="4" w:space="0" w:color="auto"/>
                    <w:right w:val="single" w:sz="4" w:space="0" w:color="auto"/>
                  </w:tcBorders>
                </w:tcPr>
                <w:p w:rsidR="00347D6C" w:rsidRPr="00DB1094" w:rsidRDefault="00347D6C" w:rsidP="00CD100F">
                  <w:r w:rsidRPr="00805DA0">
                    <w:t>Vykdant ugdymą nuotoliniu</w:t>
                  </w:r>
                  <w:r>
                    <w:t xml:space="preserve"> būdu</w:t>
                  </w:r>
                  <w:r w:rsidRPr="00805DA0">
                    <w:t xml:space="preserve"> nebuvo </w:t>
                  </w:r>
                  <w:r>
                    <w:t>mokamos</w:t>
                  </w:r>
                  <w:r w:rsidRPr="00805DA0">
                    <w:t xml:space="preserve"> įmokos už mokymo paslaugas</w:t>
                  </w:r>
                  <w:r w:rsidRPr="00B73CB5">
                    <w:t xml:space="preserve"> 2021-01-01 iki 2021-08-31</w:t>
                  </w:r>
                </w:p>
              </w:tc>
            </w:tr>
            <w:tr w:rsidR="00347D6C" w:rsidRPr="00DB1094" w:rsidTr="00CD100F">
              <w:trPr>
                <w:trHeight w:val="143"/>
              </w:trPr>
              <w:tc>
                <w:tcPr>
                  <w:tcW w:w="2333" w:type="dxa"/>
                  <w:tcBorders>
                    <w:top w:val="single" w:sz="4" w:space="0" w:color="auto"/>
                    <w:left w:val="single" w:sz="4" w:space="0" w:color="auto"/>
                    <w:bottom w:val="single" w:sz="4" w:space="0" w:color="auto"/>
                    <w:right w:val="single" w:sz="4" w:space="0" w:color="auto"/>
                  </w:tcBorders>
                  <w:hideMark/>
                </w:tcPr>
                <w:p w:rsidR="00347D6C" w:rsidRPr="00DB1094" w:rsidRDefault="00347D6C" w:rsidP="00CD100F">
                  <w:r w:rsidRPr="00DB1094">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347D6C" w:rsidRPr="00DB1094" w:rsidRDefault="00347D6C" w:rsidP="00CD100F">
                  <w:pPr>
                    <w:jc w:val="center"/>
                  </w:pPr>
                  <w:r w:rsidRPr="00DB1094">
                    <w:t>9,8</w:t>
                  </w:r>
                </w:p>
              </w:tc>
              <w:tc>
                <w:tcPr>
                  <w:tcW w:w="1438"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5,0</w:t>
                  </w:r>
                </w:p>
              </w:tc>
              <w:tc>
                <w:tcPr>
                  <w:tcW w:w="1283"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51</w:t>
                  </w:r>
                </w:p>
              </w:tc>
              <w:tc>
                <w:tcPr>
                  <w:tcW w:w="2950" w:type="dxa"/>
                  <w:tcBorders>
                    <w:top w:val="single" w:sz="4" w:space="0" w:color="auto"/>
                    <w:left w:val="single" w:sz="4" w:space="0" w:color="auto"/>
                    <w:bottom w:val="single" w:sz="4" w:space="0" w:color="auto"/>
                    <w:right w:val="single" w:sz="4" w:space="0" w:color="auto"/>
                  </w:tcBorders>
                </w:tcPr>
                <w:p w:rsidR="00347D6C" w:rsidRPr="00DB1094" w:rsidRDefault="00347D6C" w:rsidP="00CD100F">
                  <w:r w:rsidRPr="00DB1094">
                    <w:t>Karantino laikotarpiu nuomos ir apgyvendinimo paslaugos nebuvo teikiamos</w:t>
                  </w:r>
                </w:p>
              </w:tc>
            </w:tr>
            <w:tr w:rsidR="00347D6C" w:rsidRPr="00DB1094" w:rsidTr="00CD100F">
              <w:trPr>
                <w:trHeight w:val="125"/>
              </w:trPr>
              <w:tc>
                <w:tcPr>
                  <w:tcW w:w="2333" w:type="dxa"/>
                  <w:tcBorders>
                    <w:top w:val="single" w:sz="4" w:space="0" w:color="auto"/>
                    <w:left w:val="single" w:sz="4" w:space="0" w:color="auto"/>
                    <w:bottom w:val="single" w:sz="4" w:space="0" w:color="auto"/>
                    <w:right w:val="single" w:sz="4" w:space="0" w:color="auto"/>
                  </w:tcBorders>
                  <w:hideMark/>
                </w:tcPr>
                <w:p w:rsidR="00347D6C" w:rsidRPr="00DB1094" w:rsidRDefault="00347D6C" w:rsidP="00CD100F">
                  <w:r w:rsidRPr="00DB1094">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4,2</w:t>
                  </w:r>
                </w:p>
              </w:tc>
              <w:tc>
                <w:tcPr>
                  <w:tcW w:w="1438"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4,2</w:t>
                  </w:r>
                </w:p>
              </w:tc>
              <w:tc>
                <w:tcPr>
                  <w:tcW w:w="1283"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100</w:t>
                  </w:r>
                </w:p>
              </w:tc>
              <w:tc>
                <w:tcPr>
                  <w:tcW w:w="2950" w:type="dxa"/>
                  <w:tcBorders>
                    <w:top w:val="single" w:sz="4" w:space="0" w:color="auto"/>
                    <w:left w:val="single" w:sz="4" w:space="0" w:color="auto"/>
                    <w:bottom w:val="single" w:sz="4" w:space="0" w:color="auto"/>
                    <w:right w:val="single" w:sz="4" w:space="0" w:color="auto"/>
                  </w:tcBorders>
                </w:tcPr>
                <w:p w:rsidR="00347D6C" w:rsidRPr="00DB1094" w:rsidRDefault="00347D6C" w:rsidP="00CD100F"/>
              </w:tc>
            </w:tr>
            <w:tr w:rsidR="00347D6C" w:rsidRPr="00DB1094" w:rsidTr="00CD100F">
              <w:tc>
                <w:tcPr>
                  <w:tcW w:w="2333" w:type="dxa"/>
                  <w:tcBorders>
                    <w:top w:val="single" w:sz="4" w:space="0" w:color="auto"/>
                    <w:left w:val="single" w:sz="4" w:space="0" w:color="auto"/>
                    <w:bottom w:val="single" w:sz="4" w:space="0" w:color="auto"/>
                    <w:right w:val="single" w:sz="4" w:space="0" w:color="auto"/>
                  </w:tcBorders>
                  <w:hideMark/>
                </w:tcPr>
                <w:p w:rsidR="00347D6C" w:rsidRPr="00DB1094" w:rsidRDefault="00347D6C" w:rsidP="00CD100F">
                  <w:r w:rsidRPr="00DB1094">
                    <w:t>Kitos lėšos (parama 1,2 % GM ir kt.)</w:t>
                  </w:r>
                </w:p>
              </w:tc>
              <w:tc>
                <w:tcPr>
                  <w:tcW w:w="1494"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14,4</w:t>
                  </w:r>
                </w:p>
              </w:tc>
              <w:tc>
                <w:tcPr>
                  <w:tcW w:w="1438"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4,9</w:t>
                  </w:r>
                </w:p>
              </w:tc>
              <w:tc>
                <w:tcPr>
                  <w:tcW w:w="1283"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34</w:t>
                  </w:r>
                </w:p>
              </w:tc>
              <w:tc>
                <w:tcPr>
                  <w:tcW w:w="2950"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p>
              </w:tc>
            </w:tr>
            <w:tr w:rsidR="00347D6C" w:rsidRPr="00DB1094" w:rsidTr="00CD100F">
              <w:trPr>
                <w:trHeight w:val="152"/>
              </w:trPr>
              <w:tc>
                <w:tcPr>
                  <w:tcW w:w="2333" w:type="dxa"/>
                  <w:tcBorders>
                    <w:top w:val="single" w:sz="4" w:space="0" w:color="auto"/>
                    <w:left w:val="single" w:sz="4" w:space="0" w:color="auto"/>
                    <w:bottom w:val="single" w:sz="4" w:space="0" w:color="auto"/>
                    <w:right w:val="single" w:sz="4" w:space="0" w:color="auto"/>
                  </w:tcBorders>
                  <w:hideMark/>
                </w:tcPr>
                <w:p w:rsidR="00347D6C" w:rsidRPr="00DB1094" w:rsidRDefault="00347D6C" w:rsidP="00CD100F">
                  <w:r w:rsidRPr="00DB1094">
                    <w:t>Iš viso</w:t>
                  </w:r>
                </w:p>
              </w:tc>
              <w:tc>
                <w:tcPr>
                  <w:tcW w:w="1494"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1047,7</w:t>
                  </w:r>
                </w:p>
              </w:tc>
              <w:tc>
                <w:tcPr>
                  <w:tcW w:w="1438"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1007,7</w:t>
                  </w:r>
                </w:p>
              </w:tc>
              <w:tc>
                <w:tcPr>
                  <w:tcW w:w="1283"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r w:rsidRPr="00DB1094">
                    <w:t>96,2</w:t>
                  </w:r>
                </w:p>
              </w:tc>
              <w:tc>
                <w:tcPr>
                  <w:tcW w:w="2950" w:type="dxa"/>
                  <w:tcBorders>
                    <w:top w:val="single" w:sz="4" w:space="0" w:color="auto"/>
                    <w:left w:val="single" w:sz="4" w:space="0" w:color="auto"/>
                    <w:bottom w:val="single" w:sz="4" w:space="0" w:color="auto"/>
                    <w:right w:val="single" w:sz="4" w:space="0" w:color="auto"/>
                  </w:tcBorders>
                </w:tcPr>
                <w:p w:rsidR="00347D6C" w:rsidRPr="00DB1094" w:rsidRDefault="00347D6C" w:rsidP="00CD100F">
                  <w:pPr>
                    <w:jc w:val="center"/>
                  </w:pPr>
                </w:p>
              </w:tc>
            </w:tr>
            <w:tr w:rsidR="00347D6C" w:rsidRPr="00DB1094" w:rsidTr="00CD100F">
              <w:tc>
                <w:tcPr>
                  <w:tcW w:w="5265" w:type="dxa"/>
                  <w:gridSpan w:val="3"/>
                  <w:tcBorders>
                    <w:top w:val="single" w:sz="4" w:space="0" w:color="auto"/>
                    <w:left w:val="single" w:sz="4" w:space="0" w:color="auto"/>
                    <w:bottom w:val="single" w:sz="4" w:space="0" w:color="auto"/>
                    <w:right w:val="single" w:sz="4" w:space="0" w:color="auto"/>
                  </w:tcBorders>
                </w:tcPr>
                <w:p w:rsidR="00347D6C" w:rsidRPr="00DB1094" w:rsidRDefault="00347D6C" w:rsidP="00CD100F">
                  <w:r w:rsidRPr="00DB1094">
                    <w:t xml:space="preserve">Kreditinis įsiskolinimas (pagal visus finansavimo šaltinius) 2022 m. sausio 1 d. – 0,59 tūkst. </w:t>
                  </w:r>
                  <w:proofErr w:type="spellStart"/>
                  <w:r w:rsidRPr="00DB1094">
                    <w:t>Eur</w:t>
                  </w:r>
                  <w:proofErr w:type="spellEnd"/>
                  <w:r w:rsidRPr="00DB1094">
                    <w:t>:</w:t>
                  </w:r>
                </w:p>
                <w:p w:rsidR="00347D6C" w:rsidRPr="00DB1094" w:rsidRDefault="00347D6C" w:rsidP="00CD100F">
                  <w:r w:rsidRPr="00DB1094">
                    <w:t xml:space="preserve">Ryšių paslaugos – 0,1 tūkst. </w:t>
                  </w:r>
                  <w:proofErr w:type="spellStart"/>
                  <w:r w:rsidRPr="00DB1094">
                    <w:t>Eur</w:t>
                  </w:r>
                  <w:proofErr w:type="spellEnd"/>
                  <w:r w:rsidRPr="00DB1094">
                    <w:t>;</w:t>
                  </w:r>
                </w:p>
                <w:p w:rsidR="00347D6C" w:rsidRPr="00DB1094" w:rsidRDefault="00347D6C" w:rsidP="00CD100F">
                  <w:r w:rsidRPr="00DB1094">
                    <w:t xml:space="preserve">Transporto išlaidos – 0,23 tūkst. </w:t>
                  </w:r>
                  <w:proofErr w:type="spellStart"/>
                  <w:r w:rsidRPr="00DB1094">
                    <w:t>Eur</w:t>
                  </w:r>
                  <w:proofErr w:type="spellEnd"/>
                  <w:r w:rsidRPr="00DB1094">
                    <w:t>;</w:t>
                  </w:r>
                </w:p>
                <w:p w:rsidR="00347D6C" w:rsidRPr="00DB1094" w:rsidRDefault="00347D6C" w:rsidP="00CD100F">
                  <w:r w:rsidRPr="00DB1094">
                    <w:t xml:space="preserve">Kitos paslaugos – 0,26 tūkst. </w:t>
                  </w:r>
                  <w:proofErr w:type="spellStart"/>
                  <w:r w:rsidRPr="00DB1094">
                    <w:t>Eur</w:t>
                  </w:r>
                  <w:proofErr w:type="spellEnd"/>
                </w:p>
              </w:tc>
              <w:tc>
                <w:tcPr>
                  <w:tcW w:w="1283" w:type="dxa"/>
                  <w:tcBorders>
                    <w:top w:val="single" w:sz="4" w:space="0" w:color="auto"/>
                    <w:left w:val="single" w:sz="4" w:space="0" w:color="auto"/>
                    <w:bottom w:val="single" w:sz="4" w:space="0" w:color="auto"/>
                    <w:right w:val="single" w:sz="4" w:space="0" w:color="auto"/>
                  </w:tcBorders>
                </w:tcPr>
                <w:p w:rsidR="00347D6C" w:rsidRPr="00DB1094" w:rsidRDefault="00347D6C" w:rsidP="00CD100F"/>
              </w:tc>
              <w:tc>
                <w:tcPr>
                  <w:tcW w:w="2950" w:type="dxa"/>
                  <w:tcBorders>
                    <w:top w:val="single" w:sz="4" w:space="0" w:color="auto"/>
                    <w:left w:val="single" w:sz="4" w:space="0" w:color="auto"/>
                    <w:bottom w:val="single" w:sz="4" w:space="0" w:color="auto"/>
                    <w:right w:val="single" w:sz="4" w:space="0" w:color="auto"/>
                  </w:tcBorders>
                </w:tcPr>
                <w:p w:rsidR="00347D6C" w:rsidRPr="00DB1094" w:rsidRDefault="00347D6C" w:rsidP="00CD100F">
                  <w:r w:rsidRPr="00DB1094">
                    <w:t>K</w:t>
                  </w:r>
                  <w:r w:rsidRPr="00DB1094">
                    <w:rPr>
                      <w:color w:val="000000"/>
                    </w:rPr>
                    <w:t>reditinį įsiskolinimą sudarė paslaugų mokesčiai, nes paslaugų sąskaitos išrašytos 2020 m. gruodžio 31 d. data</w:t>
                  </w:r>
                </w:p>
              </w:tc>
            </w:tr>
          </w:tbl>
          <w:p w:rsidR="00347D6C" w:rsidRPr="00DB1094" w:rsidRDefault="00347D6C" w:rsidP="00CD100F">
            <w:pPr>
              <w:ind w:right="-22" w:firstLine="603"/>
              <w:jc w:val="both"/>
            </w:pPr>
            <w:bookmarkStart w:id="2" w:name="_GoBack"/>
            <w:bookmarkEnd w:id="2"/>
            <w:r w:rsidRPr="00DB1094">
              <w:t>MSC veiklą prižiūri savivaldybės Švietimo skyrius, finansinius atsiskaitymus vykdo savivaldybės Biudžetinių įstaigų centralizuotos apskaitos skyrius. Per 2021 m. pastabų dėl MSC veiklos negauta.</w:t>
            </w:r>
          </w:p>
          <w:p w:rsidR="00347D6C" w:rsidRPr="00DB1094" w:rsidRDefault="00347D6C" w:rsidP="00CD100F">
            <w:pPr>
              <w:ind w:right="-22" w:firstLine="603"/>
              <w:jc w:val="both"/>
              <w:rPr>
                <w:lang w:eastAsia="lt-LT"/>
              </w:rPr>
            </w:pPr>
            <w:r w:rsidRPr="00DB1094">
              <w:t>2021 m. MSC liko neišspręstos tokios vidaus ir išorės faktorių sąlygotos problemos: dėl lėšų trūkumo neįsigyta pakankamai reikalingų modernių mokymo priemonių bei inventoriaus būrelių veiklai.</w:t>
            </w:r>
          </w:p>
          <w:p w:rsidR="00347D6C" w:rsidRPr="00DB1094" w:rsidRDefault="00347D6C" w:rsidP="00CD100F">
            <w:pPr>
              <w:ind w:firstLine="603"/>
              <w:jc w:val="both"/>
            </w:pPr>
            <w:r w:rsidRPr="00DB1094">
              <w:t>Planuodama 2022 m. veiklą, MSC bendruomenė susitarė dėl tokių veiklos prioritetų:</w:t>
            </w:r>
          </w:p>
          <w:p w:rsidR="00347D6C" w:rsidRPr="00DB1094" w:rsidRDefault="00347D6C" w:rsidP="00CD100F">
            <w:pPr>
              <w:ind w:firstLine="603"/>
              <w:jc w:val="both"/>
            </w:pPr>
            <w:r w:rsidRPr="00DB1094">
              <w:t xml:space="preserve">1. Profesinis pedagogų skaitmeninio raštingumo tobulinimas (gilinimas), naudojant informacines komunikacines technologijas ir skaitmeninį ugdymo turinį. </w:t>
            </w:r>
          </w:p>
          <w:p w:rsidR="00347D6C" w:rsidRPr="00DB1094" w:rsidRDefault="00347D6C" w:rsidP="00CD100F">
            <w:pPr>
              <w:ind w:firstLine="603"/>
              <w:jc w:val="both"/>
            </w:pPr>
            <w:r w:rsidRPr="00DB1094">
              <w:t>2.  Modernių edukacinių aplinkų kūrimas</w:t>
            </w:r>
            <w:r>
              <w:t>.</w:t>
            </w:r>
          </w:p>
        </w:tc>
      </w:tr>
    </w:tbl>
    <w:p w:rsidR="00230038" w:rsidRDefault="00230038" w:rsidP="00933678">
      <w:pPr>
        <w:ind w:firstLine="709"/>
        <w:jc w:val="both"/>
      </w:pPr>
    </w:p>
    <w:p w:rsidR="00933678" w:rsidRPr="00832CC9" w:rsidRDefault="00347D6C" w:rsidP="00933678">
      <w:pPr>
        <w:ind w:firstLine="709"/>
        <w:jc w:val="both"/>
      </w:pPr>
      <w:r>
        <w:t>Direktorius</w:t>
      </w:r>
      <w:r w:rsidR="001E1F63">
        <w:tab/>
      </w:r>
      <w:r w:rsidR="001E1F63">
        <w:tab/>
      </w:r>
      <w:r w:rsidR="001E1F63">
        <w:tab/>
      </w:r>
      <w:r w:rsidR="001E1F63">
        <w:tab/>
      </w:r>
      <w:r>
        <w:t>Vytautas Krutulis</w:t>
      </w:r>
      <w:r w:rsidR="00933678">
        <w:tab/>
      </w:r>
      <w:r w:rsidR="00933678">
        <w:tab/>
      </w:r>
    </w:p>
    <w:sectPr w:rsidR="00933678"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01278">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A3FEEDAA"/>
    <w:lvl w:ilvl="0" w:tplc="01D23146">
      <w:numFmt w:val="bullet"/>
      <w:suff w:val="space"/>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1" w15:restartNumberingAfterBreak="0">
    <w:nsid w:val="615D7B91"/>
    <w:multiLevelType w:val="hybridMultilevel"/>
    <w:tmpl w:val="39B42060"/>
    <w:lvl w:ilvl="0" w:tplc="E7D44B68">
      <w:numFmt w:val="bullet"/>
      <w:lvlText w:val="–"/>
      <w:lvlJc w:val="left"/>
      <w:pPr>
        <w:ind w:left="1323" w:hanging="360"/>
      </w:pPr>
      <w:rPr>
        <w:rFonts w:ascii="Times New Roman" w:eastAsia="Times New Roman" w:hAnsi="Times New Roman" w:cs="Times New Roman" w:hint="default"/>
      </w:rPr>
    </w:lvl>
    <w:lvl w:ilvl="1" w:tplc="04270003" w:tentative="1">
      <w:start w:val="1"/>
      <w:numFmt w:val="bullet"/>
      <w:lvlText w:val="o"/>
      <w:lvlJc w:val="left"/>
      <w:pPr>
        <w:ind w:left="2043" w:hanging="360"/>
      </w:pPr>
      <w:rPr>
        <w:rFonts w:ascii="Courier New" w:hAnsi="Courier New" w:cs="Courier New" w:hint="default"/>
      </w:rPr>
    </w:lvl>
    <w:lvl w:ilvl="2" w:tplc="04270005" w:tentative="1">
      <w:start w:val="1"/>
      <w:numFmt w:val="bullet"/>
      <w:lvlText w:val=""/>
      <w:lvlJc w:val="left"/>
      <w:pPr>
        <w:ind w:left="2763" w:hanging="360"/>
      </w:pPr>
      <w:rPr>
        <w:rFonts w:ascii="Wingdings" w:hAnsi="Wingdings" w:hint="default"/>
      </w:rPr>
    </w:lvl>
    <w:lvl w:ilvl="3" w:tplc="04270001" w:tentative="1">
      <w:start w:val="1"/>
      <w:numFmt w:val="bullet"/>
      <w:lvlText w:val=""/>
      <w:lvlJc w:val="left"/>
      <w:pPr>
        <w:ind w:left="3483" w:hanging="360"/>
      </w:pPr>
      <w:rPr>
        <w:rFonts w:ascii="Symbol" w:hAnsi="Symbol" w:hint="default"/>
      </w:rPr>
    </w:lvl>
    <w:lvl w:ilvl="4" w:tplc="04270003" w:tentative="1">
      <w:start w:val="1"/>
      <w:numFmt w:val="bullet"/>
      <w:lvlText w:val="o"/>
      <w:lvlJc w:val="left"/>
      <w:pPr>
        <w:ind w:left="4203" w:hanging="360"/>
      </w:pPr>
      <w:rPr>
        <w:rFonts w:ascii="Courier New" w:hAnsi="Courier New" w:cs="Courier New" w:hint="default"/>
      </w:rPr>
    </w:lvl>
    <w:lvl w:ilvl="5" w:tplc="04270005" w:tentative="1">
      <w:start w:val="1"/>
      <w:numFmt w:val="bullet"/>
      <w:lvlText w:val=""/>
      <w:lvlJc w:val="left"/>
      <w:pPr>
        <w:ind w:left="4923" w:hanging="360"/>
      </w:pPr>
      <w:rPr>
        <w:rFonts w:ascii="Wingdings" w:hAnsi="Wingdings" w:hint="default"/>
      </w:rPr>
    </w:lvl>
    <w:lvl w:ilvl="6" w:tplc="04270001" w:tentative="1">
      <w:start w:val="1"/>
      <w:numFmt w:val="bullet"/>
      <w:lvlText w:val=""/>
      <w:lvlJc w:val="left"/>
      <w:pPr>
        <w:ind w:left="5643" w:hanging="360"/>
      </w:pPr>
      <w:rPr>
        <w:rFonts w:ascii="Symbol" w:hAnsi="Symbol" w:hint="default"/>
      </w:rPr>
    </w:lvl>
    <w:lvl w:ilvl="7" w:tplc="04270003" w:tentative="1">
      <w:start w:val="1"/>
      <w:numFmt w:val="bullet"/>
      <w:lvlText w:val="o"/>
      <w:lvlJc w:val="left"/>
      <w:pPr>
        <w:ind w:left="6363" w:hanging="360"/>
      </w:pPr>
      <w:rPr>
        <w:rFonts w:ascii="Courier New" w:hAnsi="Courier New" w:cs="Courier New" w:hint="default"/>
      </w:rPr>
    </w:lvl>
    <w:lvl w:ilvl="8" w:tplc="04270005" w:tentative="1">
      <w:start w:val="1"/>
      <w:numFmt w:val="bullet"/>
      <w:lvlText w:val=""/>
      <w:lvlJc w:val="left"/>
      <w:pPr>
        <w:ind w:left="7083" w:hanging="360"/>
      </w:pPr>
      <w:rPr>
        <w:rFonts w:ascii="Wingdings" w:hAnsi="Wingdings" w:hint="default"/>
      </w:rPr>
    </w:lvl>
  </w:abstractNum>
  <w:abstractNum w:abstractNumId="2" w15:restartNumberingAfterBreak="0">
    <w:nsid w:val="66661E4C"/>
    <w:multiLevelType w:val="multilevel"/>
    <w:tmpl w:val="0D1689FC"/>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7E315F25"/>
    <w:multiLevelType w:val="multilevel"/>
    <w:tmpl w:val="A572ABD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265AF"/>
    <w:rsid w:val="0019615E"/>
    <w:rsid w:val="001E1F63"/>
    <w:rsid w:val="00230038"/>
    <w:rsid w:val="0034183E"/>
    <w:rsid w:val="00347D6C"/>
    <w:rsid w:val="004476DD"/>
    <w:rsid w:val="00597EE8"/>
    <w:rsid w:val="005B434A"/>
    <w:rsid w:val="005F495C"/>
    <w:rsid w:val="006C687F"/>
    <w:rsid w:val="006F38F8"/>
    <w:rsid w:val="00701278"/>
    <w:rsid w:val="00736B67"/>
    <w:rsid w:val="00832CC9"/>
    <w:rsid w:val="008354D5"/>
    <w:rsid w:val="008E6E82"/>
    <w:rsid w:val="00933678"/>
    <w:rsid w:val="009B29CD"/>
    <w:rsid w:val="00A73BBA"/>
    <w:rsid w:val="00AC7E0D"/>
    <w:rsid w:val="00AF7D08"/>
    <w:rsid w:val="00B750B6"/>
    <w:rsid w:val="00C57681"/>
    <w:rsid w:val="00CA4D3B"/>
    <w:rsid w:val="00D42B72"/>
    <w:rsid w:val="00D57F27"/>
    <w:rsid w:val="00DF5BB7"/>
    <w:rsid w:val="00E33871"/>
    <w:rsid w:val="00E56A73"/>
    <w:rsid w:val="00E70628"/>
    <w:rsid w:val="00F1275A"/>
    <w:rsid w:val="00F72A1E"/>
    <w:rsid w:val="00FC7C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3C42A"/>
  <w15:docId w15:val="{925CA976-A836-42EC-8085-FB1316309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33678"/>
    <w:pPr>
      <w:keepNext/>
      <w:outlineLvl w:val="0"/>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933678"/>
    <w:rPr>
      <w:rFonts w:ascii="Times New Roman" w:eastAsia="Times New Roman" w:hAnsi="Times New Roman" w:cs="Times New Roman"/>
      <w:i/>
      <w:iCs/>
      <w:sz w:val="24"/>
      <w:szCs w:val="24"/>
    </w:rPr>
  </w:style>
  <w:style w:type="character" w:styleId="Hipersaitas">
    <w:name w:val="Hyperlink"/>
    <w:basedOn w:val="Numatytasispastraiposriftas"/>
    <w:uiPriority w:val="99"/>
    <w:unhideWhenUsed/>
    <w:rsid w:val="001E1F63"/>
    <w:rPr>
      <w:color w:val="0000FF" w:themeColor="hyperlink"/>
      <w:u w:val="single"/>
    </w:rPr>
  </w:style>
  <w:style w:type="character" w:styleId="Grietas">
    <w:name w:val="Strong"/>
    <w:uiPriority w:val="22"/>
    <w:qFormat/>
    <w:rsid w:val="006F38F8"/>
    <w:rPr>
      <w:rFonts w:cs="Times New Roman"/>
      <w:b/>
      <w:bCs/>
    </w:rPr>
  </w:style>
  <w:style w:type="character" w:customStyle="1" w:styleId="markedcontent">
    <w:name w:val="markedcontent"/>
    <w:basedOn w:val="Numatytasispastraiposriftas"/>
    <w:qFormat/>
    <w:rsid w:val="006F38F8"/>
  </w:style>
  <w:style w:type="paragraph" w:styleId="Sraopastraipa">
    <w:name w:val="List Paragraph"/>
    <w:basedOn w:val="prastasis"/>
    <w:uiPriority w:val="34"/>
    <w:qFormat/>
    <w:rsid w:val="006F38F8"/>
    <w:pPr>
      <w:suppressAutoHyphens/>
      <w:spacing w:after="160" w:line="259" w:lineRule="auto"/>
      <w:ind w:left="720"/>
      <w:contextualSpacing/>
    </w:pPr>
    <w:rPr>
      <w:rFonts w:asciiTheme="minorHAnsi" w:eastAsiaTheme="minorHAnsi" w:hAnsiTheme="minorHAnsi" w:cstheme="minorBidi"/>
      <w:sz w:val="22"/>
      <w:szCs w:val="22"/>
    </w:rPr>
  </w:style>
  <w:style w:type="paragraph" w:customStyle="1" w:styleId="Standard">
    <w:name w:val="Standard"/>
    <w:rsid w:val="00230038"/>
    <w:pPr>
      <w:widowControl w:val="0"/>
      <w:suppressAutoHyphens/>
      <w:autoSpaceDN w:val="0"/>
      <w:spacing w:after="160" w:line="247" w:lineRule="auto"/>
      <w:textAlignment w:val="baseline"/>
    </w:pPr>
    <w:rPr>
      <w:rFonts w:ascii="Calibri" w:eastAsia="Calibri" w:hAnsi="Calibri" w:cs="Calibri"/>
      <w:lang w:eastAsia="zh-CN" w:bidi="hi-IN"/>
    </w:rPr>
  </w:style>
  <w:style w:type="character" w:customStyle="1" w:styleId="normaltextrun">
    <w:name w:val="normaltextrun"/>
    <w:basedOn w:val="Numatytasispastraiposriftas"/>
    <w:rsid w:val="00A73BBA"/>
  </w:style>
  <w:style w:type="paragraph" w:customStyle="1" w:styleId="paragraph">
    <w:name w:val="paragraph"/>
    <w:basedOn w:val="prastasis"/>
    <w:rsid w:val="00A73BBA"/>
    <w:pPr>
      <w:spacing w:beforeAutospacing="1" w:after="160" w:afterAutospacing="1" w:line="259" w:lineRule="auto"/>
    </w:pPr>
  </w:style>
  <w:style w:type="character" w:customStyle="1" w:styleId="eop">
    <w:name w:val="eop"/>
    <w:basedOn w:val="Numatytasispastraiposriftas"/>
    <w:rsid w:val="00A73BBA"/>
  </w:style>
  <w:style w:type="paragraph" w:customStyle="1" w:styleId="Default">
    <w:name w:val="Default"/>
    <w:rsid w:val="00347D6C"/>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6392</Words>
  <Characters>3645</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6</cp:revision>
  <dcterms:created xsi:type="dcterms:W3CDTF">2022-02-23T07:55:00Z</dcterms:created>
  <dcterms:modified xsi:type="dcterms:W3CDTF">2022-02-24T12:24:00Z</dcterms:modified>
</cp:coreProperties>
</file>